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EC38" w14:textId="0B3C63FA" w:rsidR="00224B8F" w:rsidRDefault="0065519B" w:rsidP="0065519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583F7" wp14:editId="40595044">
            <wp:simplePos x="0" y="0"/>
            <wp:positionH relativeFrom="column">
              <wp:posOffset>-2982</wp:posOffset>
            </wp:positionH>
            <wp:positionV relativeFrom="paragraph">
              <wp:posOffset>469</wp:posOffset>
            </wp:positionV>
            <wp:extent cx="1240155" cy="918845"/>
            <wp:effectExtent l="0" t="0" r="0" b="0"/>
            <wp:wrapTight wrapText="bothSides">
              <wp:wrapPolygon edited="0">
                <wp:start x="0" y="0"/>
                <wp:lineTo x="0" y="21048"/>
                <wp:lineTo x="21235" y="21048"/>
                <wp:lineTo x="2123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8F">
        <w:rPr>
          <w:rFonts w:ascii="Arial" w:eastAsia="Times New Roman" w:hAnsi="Arial" w:cs="Arial"/>
          <w:b/>
          <w:bCs/>
          <w:kern w:val="36"/>
          <w:sz w:val="40"/>
          <w:szCs w:val="40"/>
          <w:lang w:eastAsia="fr-FR"/>
        </w:rPr>
        <w:t>Cahier des charges</w:t>
      </w:r>
    </w:p>
    <w:p w14:paraId="339CFF54" w14:textId="6BD643EB" w:rsidR="00337C48" w:rsidRPr="00337C48" w:rsidRDefault="00337C48" w:rsidP="0065519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fr-FR"/>
        </w:rPr>
      </w:pPr>
      <w:r w:rsidRPr="00337C48">
        <w:rPr>
          <w:rFonts w:ascii="Arial" w:eastAsia="Times New Roman" w:hAnsi="Arial" w:cs="Arial"/>
          <w:b/>
          <w:bCs/>
          <w:kern w:val="36"/>
          <w:sz w:val="40"/>
          <w:szCs w:val="40"/>
          <w:lang w:eastAsia="fr-FR"/>
        </w:rPr>
        <w:t>Ateliers artistiques</w:t>
      </w:r>
    </w:p>
    <w:p w14:paraId="7AB93833" w14:textId="77777777" w:rsidR="0065519B" w:rsidRDefault="0065519B" w:rsidP="00337C48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4"/>
          <w:szCs w:val="24"/>
        </w:rPr>
      </w:pPr>
    </w:p>
    <w:p w14:paraId="66346E92" w14:textId="15F88955" w:rsidR="00337C48" w:rsidRPr="00337C48" w:rsidRDefault="00337C48" w:rsidP="00337C4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</w:pPr>
      <w:r w:rsidRPr="00337C48">
        <w:rPr>
          <w:rFonts w:ascii="Arial" w:hAnsi="Arial" w:cs="Arial"/>
          <w:sz w:val="24"/>
          <w:szCs w:val="24"/>
        </w:rPr>
        <w:t>L'atelier artistique est un dispositif qui contribue à la construction du parcours d'éducation artistique et culturelle de l'élève. Les ateliers sont des activités proposées aux côtés des enseignements</w:t>
      </w:r>
    </w:p>
    <w:p w14:paraId="1D691164" w14:textId="77777777" w:rsidR="00224B8F" w:rsidRPr="00337C48" w:rsidRDefault="00224B8F" w:rsidP="0056248D">
      <w:pPr>
        <w:pStyle w:val="Titre3"/>
        <w:numPr>
          <w:ilvl w:val="0"/>
          <w:numId w:val="7"/>
        </w:numPr>
        <w:rPr>
          <w:rFonts w:ascii="Arial" w:hAnsi="Arial" w:cs="Arial"/>
          <w:b/>
          <w:bCs/>
        </w:rPr>
      </w:pPr>
      <w:r w:rsidRPr="00337C48">
        <w:rPr>
          <w:rFonts w:ascii="Arial" w:hAnsi="Arial" w:cs="Arial"/>
          <w:b/>
          <w:bCs/>
        </w:rPr>
        <w:t>Les objectifs pédagogiques d'un atelier</w:t>
      </w:r>
    </w:p>
    <w:p w14:paraId="62CCDB74" w14:textId="77777777" w:rsidR="00224B8F" w:rsidRPr="00337C48" w:rsidRDefault="00224B8F" w:rsidP="00224B8F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>Les ateliers représentent des espaces d'innovation pédagogique et d'engagement artistique ou scientifique et permettent de diversifier les modes de rencontres avec les arts ou les sciences.</w:t>
      </w:r>
    </w:p>
    <w:p w14:paraId="680BDED5" w14:textId="77777777" w:rsidR="00224B8F" w:rsidRPr="00337C48" w:rsidRDefault="00224B8F" w:rsidP="0022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37C48">
        <w:rPr>
          <w:rFonts w:ascii="Arial" w:hAnsi="Arial" w:cs="Arial"/>
          <w:sz w:val="24"/>
          <w:szCs w:val="24"/>
        </w:rPr>
        <w:t>Approfondir une pratique artistique ou scientifique initiée dans le cadre d'actions de sensibilisation menées antérieurement</w:t>
      </w:r>
    </w:p>
    <w:p w14:paraId="2A708E96" w14:textId="77777777" w:rsidR="00224B8F" w:rsidRPr="00337C48" w:rsidRDefault="00224B8F" w:rsidP="0022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37C48">
        <w:rPr>
          <w:rFonts w:ascii="Arial" w:hAnsi="Arial" w:cs="Arial"/>
          <w:sz w:val="24"/>
          <w:szCs w:val="24"/>
        </w:rPr>
        <w:t>Expérimenter une démarche de création avec des artistes ou d'investigation avec des scientifiques</w:t>
      </w:r>
    </w:p>
    <w:p w14:paraId="3B1AD7F9" w14:textId="77777777" w:rsidR="00224B8F" w:rsidRPr="00337C48" w:rsidRDefault="00224B8F" w:rsidP="0022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37C48">
        <w:rPr>
          <w:rFonts w:ascii="Arial" w:hAnsi="Arial" w:cs="Arial"/>
          <w:sz w:val="24"/>
          <w:szCs w:val="24"/>
        </w:rPr>
        <w:t>Éprouver une rencontre publique lors d'un temps de restitution (ex. : journée des arts à l'école, fête départementale des collégiens, Rencontres Clap Premières etc.)</w:t>
      </w:r>
    </w:p>
    <w:p w14:paraId="0FDC503D" w14:textId="77777777" w:rsidR="00224B8F" w:rsidRPr="00337C48" w:rsidRDefault="00224B8F" w:rsidP="00224B8F">
      <w:pPr>
        <w:pStyle w:val="Titre3"/>
        <w:numPr>
          <w:ilvl w:val="0"/>
          <w:numId w:val="3"/>
        </w:numPr>
        <w:rPr>
          <w:rFonts w:ascii="Arial" w:hAnsi="Arial" w:cs="Arial"/>
          <w:b/>
          <w:bCs/>
        </w:rPr>
      </w:pPr>
      <w:r w:rsidRPr="00337C48">
        <w:rPr>
          <w:rFonts w:ascii="Arial" w:hAnsi="Arial" w:cs="Arial"/>
          <w:b/>
          <w:bCs/>
        </w:rPr>
        <w:t>Le cahier des charges des ateliers dans l'académie de Bordeaux</w:t>
      </w:r>
    </w:p>
    <w:p w14:paraId="11FEF367" w14:textId="77777777" w:rsidR="00224B8F" w:rsidRPr="00337C48" w:rsidRDefault="00224B8F" w:rsidP="00224B8F">
      <w:pPr>
        <w:pStyle w:val="NormalWeb"/>
        <w:numPr>
          <w:ilvl w:val="0"/>
          <w:numId w:val="3"/>
        </w:numPr>
        <w:spacing w:before="0" w:beforeAutospacing="0"/>
        <w:rPr>
          <w:rFonts w:ascii="Arial" w:hAnsi="Arial" w:cs="Arial"/>
        </w:rPr>
      </w:pPr>
      <w:r w:rsidRPr="00337C48">
        <w:rPr>
          <w:rFonts w:ascii="Arial" w:hAnsi="Arial" w:cs="Arial"/>
        </w:rPr>
        <w:t>Un groupe d'une vingtaine d'élèves maximum engagés sur la base du volontariat (12 minimum)</w:t>
      </w:r>
    </w:p>
    <w:p w14:paraId="7CCC7594" w14:textId="77777777" w:rsidR="00224B8F" w:rsidRPr="00337C48" w:rsidRDefault="00224B8F" w:rsidP="00224B8F">
      <w:pPr>
        <w:pStyle w:val="NormalWeb"/>
        <w:numPr>
          <w:ilvl w:val="0"/>
          <w:numId w:val="3"/>
        </w:numPr>
        <w:spacing w:before="0" w:beforeAutospacing="0"/>
        <w:rPr>
          <w:rFonts w:ascii="Arial" w:hAnsi="Arial" w:cs="Arial"/>
        </w:rPr>
      </w:pPr>
      <w:r w:rsidRPr="00337C48">
        <w:rPr>
          <w:rFonts w:ascii="Arial" w:hAnsi="Arial" w:cs="Arial"/>
        </w:rPr>
        <w:t>L'intervention d'un partenaire artistique ou scientifique de 20h minimum.</w:t>
      </w:r>
    </w:p>
    <w:p w14:paraId="4AC7B3B0" w14:textId="2735D9CC" w:rsidR="00224B8F" w:rsidRPr="00337C48" w:rsidRDefault="00C61F80" w:rsidP="00224B8F">
      <w:pPr>
        <w:pStyle w:val="NormalWeb"/>
        <w:numPr>
          <w:ilvl w:val="0"/>
          <w:numId w:val="3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4B8F" w:rsidRPr="00337C48">
        <w:rPr>
          <w:rFonts w:ascii="Arial" w:hAnsi="Arial" w:cs="Arial"/>
        </w:rPr>
        <w:t>es élèves de tous niveaux et de toutes les filières.</w:t>
      </w:r>
    </w:p>
    <w:p w14:paraId="6A4549C4" w14:textId="2C852AEF" w:rsidR="00224B8F" w:rsidRPr="00337C48" w:rsidRDefault="00C61F80" w:rsidP="00224B8F">
      <w:pPr>
        <w:pStyle w:val="NormalWeb"/>
        <w:numPr>
          <w:ilvl w:val="0"/>
          <w:numId w:val="3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L’ouverture à u</w:t>
      </w:r>
      <w:r w:rsidR="00224B8F" w:rsidRPr="00337C48">
        <w:rPr>
          <w:rFonts w:ascii="Arial" w:hAnsi="Arial" w:cs="Arial"/>
        </w:rPr>
        <w:t xml:space="preserve">ne temporalité stable : </w:t>
      </w:r>
      <w:r>
        <w:rPr>
          <w:rFonts w:ascii="Arial" w:hAnsi="Arial" w:cs="Arial"/>
        </w:rPr>
        <w:t xml:space="preserve">l’atelier </w:t>
      </w:r>
      <w:r w:rsidR="00224B8F" w:rsidRPr="00337C48">
        <w:rPr>
          <w:rFonts w:ascii="Arial" w:hAnsi="Arial" w:cs="Arial"/>
        </w:rPr>
        <w:t>se déroule sur des séances hebdomadaires (on privilégiera des séances de 2 heures) auxquelles peuvent s’adjoindre des temps forts sur des durées plus longues. </w:t>
      </w:r>
    </w:p>
    <w:p w14:paraId="2BCDB699" w14:textId="77777777" w:rsidR="0065519B" w:rsidRPr="0065519B" w:rsidRDefault="00224B8F" w:rsidP="005357F6">
      <w:pPr>
        <w:pStyle w:val="NormalWeb"/>
        <w:numPr>
          <w:ilvl w:val="0"/>
          <w:numId w:val="3"/>
        </w:numPr>
        <w:ind w:left="360"/>
        <w:rPr>
          <w:rFonts w:ascii="Arial" w:hAnsi="Arial" w:cs="Arial"/>
          <w:b/>
          <w:bCs/>
          <w:color w:val="4472C4" w:themeColor="accent1"/>
        </w:rPr>
      </w:pPr>
      <w:r w:rsidRPr="0065519B">
        <w:rPr>
          <w:rFonts w:ascii="Arial" w:hAnsi="Arial" w:cs="Arial"/>
        </w:rPr>
        <w:t>Un temps de restitution ou de travail ouvert aux autres élèves de l'établissement doit être prévu et organisé.</w:t>
      </w:r>
    </w:p>
    <w:p w14:paraId="16F01A32" w14:textId="659C5592" w:rsidR="00224B8F" w:rsidRPr="0065519B" w:rsidRDefault="00D02BD2" w:rsidP="0065519B">
      <w:pPr>
        <w:pStyle w:val="NormalWeb"/>
        <w:ind w:right="-285"/>
        <w:rPr>
          <w:rFonts w:ascii="Arial" w:hAnsi="Arial" w:cs="Arial"/>
          <w:b/>
          <w:bCs/>
          <w:color w:val="4472C4" w:themeColor="accent1"/>
        </w:rPr>
      </w:pPr>
      <w:r w:rsidRPr="0065519B">
        <w:rPr>
          <w:rFonts w:ascii="Arial" w:hAnsi="Arial" w:cs="Arial"/>
          <w:b/>
          <w:bCs/>
          <w:color w:val="4472C4" w:themeColor="accent1"/>
        </w:rPr>
        <w:t>Pour toute demande de création ou de reconduction d'un atelier artistique ou scientifique :</w:t>
      </w:r>
    </w:p>
    <w:p w14:paraId="7C2BFE30" w14:textId="06BCF726" w:rsidR="00337C48" w:rsidRPr="0065519B" w:rsidRDefault="00337C48" w:rsidP="006C0E7E">
      <w:pPr>
        <w:pStyle w:val="Titre3"/>
        <w:numPr>
          <w:ilvl w:val="0"/>
          <w:numId w:val="7"/>
        </w:numPr>
        <w:rPr>
          <w:rFonts w:ascii="Arial" w:hAnsi="Arial" w:cs="Arial"/>
        </w:rPr>
      </w:pPr>
      <w:r w:rsidRPr="0065519B">
        <w:rPr>
          <w:rFonts w:ascii="Arial" w:hAnsi="Arial" w:cs="Arial"/>
        </w:rPr>
        <w:t xml:space="preserve"> </w:t>
      </w:r>
      <w:r w:rsidRPr="006C0E7E">
        <w:rPr>
          <w:rFonts w:ascii="Arial" w:hAnsi="Arial" w:cs="Arial"/>
          <w:b/>
          <w:bCs/>
        </w:rPr>
        <w:t>Sur la page d’accueil de l’application ADAGE</w:t>
      </w:r>
      <w:r w:rsidRPr="0065519B">
        <w:rPr>
          <w:rFonts w:ascii="Arial" w:hAnsi="Arial" w:cs="Arial"/>
        </w:rPr>
        <w:t xml:space="preserve">, (accessible depuis votre espace </w:t>
      </w:r>
      <w:hyperlink r:id="rId6" w:tgtFrame="_blank" w:history="1">
        <w:r w:rsidRPr="0065519B">
          <w:rPr>
            <w:rStyle w:val="Lienhypertexte"/>
            <w:rFonts w:ascii="Arial" w:hAnsi="Arial" w:cs="Arial"/>
          </w:rPr>
          <w:t>ARENA</w:t>
        </w:r>
      </w:hyperlink>
      <w:r w:rsidRPr="0065519B">
        <w:rPr>
          <w:rFonts w:ascii="Arial" w:hAnsi="Arial" w:cs="Arial"/>
        </w:rPr>
        <w:t>)</w:t>
      </w:r>
      <w:r w:rsidRPr="0065519B">
        <w:rPr>
          <w:rFonts w:ascii="Arial" w:hAnsi="Arial" w:cs="Arial"/>
          <w:color w:val="000000"/>
        </w:rPr>
        <w:t xml:space="preserve">, vous trouverez la liste par ordre alphabétique de toutes les campagnes d’appels à projets actuellement ouvertes à l’inscription dans l’encart bleu « Appels à projets ». </w:t>
      </w:r>
      <w:r w:rsidR="00ED4CF4">
        <w:rPr>
          <w:rFonts w:ascii="Arial" w:hAnsi="Arial" w:cs="Arial"/>
          <w:color w:val="000000"/>
        </w:rPr>
        <w:br/>
      </w:r>
    </w:p>
    <w:p w14:paraId="3EC37B16" w14:textId="32E073A7" w:rsidR="00337C48" w:rsidRPr="0065519B" w:rsidRDefault="00337C48" w:rsidP="0056248D">
      <w:pPr>
        <w:pStyle w:val="Titre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0E7E">
        <w:rPr>
          <w:rFonts w:ascii="Arial" w:hAnsi="Arial" w:cs="Arial"/>
          <w:b/>
          <w:bCs/>
          <w:i w:val="0"/>
          <w:iCs w:val="0"/>
          <w:color w:val="1F3763" w:themeColor="accent1" w:themeShade="7F"/>
          <w:sz w:val="24"/>
          <w:szCs w:val="24"/>
        </w:rPr>
        <w:t>Vous pouvez déposer une demande de création ou de reconduction</w:t>
      </w:r>
      <w:r w:rsidRPr="0065519B">
        <w:rPr>
          <w:rFonts w:ascii="Arial" w:hAnsi="Arial" w:cs="Arial"/>
          <w:color w:val="000000"/>
          <w:sz w:val="24"/>
          <w:szCs w:val="24"/>
        </w:rPr>
        <w:t xml:space="preserve"> d’atelier via la campagne dédiée : </w:t>
      </w:r>
    </w:p>
    <w:p w14:paraId="1CEAE78F" w14:textId="1DF8FF47" w:rsidR="006B1DA9" w:rsidRDefault="006B1DA9" w:rsidP="00337C48">
      <w:pPr>
        <w:rPr>
          <w:rFonts w:ascii="Arial" w:hAnsi="Arial" w:cs="Arial"/>
          <w:sz w:val="24"/>
          <w:szCs w:val="24"/>
        </w:rPr>
      </w:pPr>
      <w:r w:rsidRPr="0065519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04C2AC" wp14:editId="1EBDA7A9">
            <wp:simplePos x="0" y="0"/>
            <wp:positionH relativeFrom="column">
              <wp:posOffset>546100</wp:posOffset>
            </wp:positionH>
            <wp:positionV relativeFrom="paragraph">
              <wp:posOffset>116537</wp:posOffset>
            </wp:positionV>
            <wp:extent cx="5760720" cy="351790"/>
            <wp:effectExtent l="0" t="0" r="0" b="0"/>
            <wp:wrapTight wrapText="bothSides">
              <wp:wrapPolygon edited="0">
                <wp:start x="0" y="0"/>
                <wp:lineTo x="0" y="19884"/>
                <wp:lineTo x="21500" y="19884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5DA60" w14:textId="196DA253" w:rsidR="00337C48" w:rsidRPr="0065519B" w:rsidRDefault="00337C48" w:rsidP="00337C48">
      <w:pPr>
        <w:rPr>
          <w:rFonts w:ascii="Arial" w:hAnsi="Arial" w:cs="Arial"/>
          <w:sz w:val="24"/>
          <w:szCs w:val="24"/>
        </w:rPr>
      </w:pPr>
    </w:p>
    <w:p w14:paraId="34A7777B" w14:textId="2217A965" w:rsidR="006C0E7E" w:rsidRDefault="00337C48" w:rsidP="00337C48">
      <w:pPr>
        <w:pStyle w:val="Titre4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ED4CF4">
        <w:rPr>
          <w:rFonts w:ascii="Arial" w:hAnsi="Arial" w:cs="Arial"/>
          <w:b/>
          <w:bCs/>
          <w:i w:val="0"/>
          <w:iCs w:val="0"/>
          <w:color w:val="C61932"/>
          <w:sz w:val="24"/>
          <w:szCs w:val="24"/>
        </w:rPr>
        <w:t>Attention</w:t>
      </w:r>
      <w:r w:rsidRPr="00ED4CF4"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65519B">
        <w:rPr>
          <w:rFonts w:ascii="Arial" w:hAnsi="Arial" w:cs="Arial"/>
          <w:i w:val="0"/>
          <w:iCs w:val="0"/>
          <w:color w:val="000000"/>
          <w:sz w:val="24"/>
          <w:szCs w:val="24"/>
        </w:rPr>
        <w:t>à la date de clôture de la campagne !</w:t>
      </w:r>
    </w:p>
    <w:p w14:paraId="69C01DE7" w14:textId="0A481E22" w:rsidR="006C0E7E" w:rsidRPr="006C0E7E" w:rsidRDefault="006C0E7E" w:rsidP="006C0E7E">
      <w:pPr>
        <w:rPr>
          <w:rStyle w:val="lev"/>
          <w:rFonts w:ascii="Arial" w:eastAsiaTheme="majorEastAsia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br w:type="page"/>
      </w:r>
    </w:p>
    <w:p w14:paraId="179F8506" w14:textId="66767700" w:rsidR="00337C48" w:rsidRPr="00ED4CF4" w:rsidRDefault="00337C48" w:rsidP="00337C48">
      <w:pPr>
        <w:pStyle w:val="Titre4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6C0E7E">
        <w:rPr>
          <w:rStyle w:val="lev"/>
          <w:rFonts w:ascii="Arial" w:hAnsi="Arial" w:cs="Arial"/>
          <w:i w:val="0"/>
          <w:iCs w:val="0"/>
          <w:color w:val="C61932"/>
          <w:sz w:val="24"/>
          <w:szCs w:val="24"/>
        </w:rPr>
        <w:lastRenderedPageBreak/>
        <w:t>Pour une demande de reconduction d'un atelier</w:t>
      </w:r>
      <w:r w:rsidRPr="0065519B">
        <w:rPr>
          <w:rStyle w:val="lev"/>
          <w:rFonts w:ascii="Arial" w:hAnsi="Arial" w:cs="Arial"/>
          <w:b w:val="0"/>
          <w:bCs w:val="0"/>
          <w:i w:val="0"/>
          <w:iCs w:val="0"/>
          <w:color w:val="C61932"/>
          <w:sz w:val="24"/>
          <w:szCs w:val="24"/>
        </w:rPr>
        <w:t xml:space="preserve"> </w:t>
      </w:r>
      <w:r w:rsidRPr="0065519B"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; </w:t>
      </w:r>
      <w:r w:rsidRPr="00ED4CF4">
        <w:rPr>
          <w:rFonts w:ascii="Arial" w:hAnsi="Arial" w:cs="Arial"/>
          <w:i w:val="0"/>
          <w:iCs w:val="0"/>
          <w:color w:val="000000"/>
          <w:sz w:val="24"/>
          <w:szCs w:val="24"/>
        </w:rPr>
        <w:t>il est impératif pour l'établissement d'avoir rempli correctement le bilan de l'atelier dans le recensement des projets artistiques et culturels d'ADAGE, puis reformuler une demande d'atelier via la campagne d'appel à projets. (Sans bilan, la demande ne sera pas prise en compte.)</w:t>
      </w:r>
    </w:p>
    <w:p w14:paraId="7EE18CAE" w14:textId="2DDEEE4A" w:rsidR="0056248D" w:rsidRPr="00ED4CF4" w:rsidRDefault="0056248D" w:rsidP="0056248D">
      <w:pPr>
        <w:rPr>
          <w:sz w:val="24"/>
          <w:szCs w:val="24"/>
        </w:rPr>
      </w:pPr>
      <w:r w:rsidRPr="00ED4CF4">
        <w:rPr>
          <w:rStyle w:val="lev"/>
          <w:rFonts w:ascii="Arial" w:hAnsi="Arial" w:cs="Arial"/>
          <w:sz w:val="24"/>
          <w:szCs w:val="24"/>
        </w:rPr>
        <w:t xml:space="preserve">Cliquez sur </w:t>
      </w:r>
      <w:r w:rsidRPr="00ED4CF4">
        <w:rPr>
          <w:rStyle w:val="lev"/>
          <w:rFonts w:ascii="Arial" w:hAnsi="Arial" w:cs="Arial"/>
          <w:color w:val="538135" w:themeColor="accent6" w:themeShade="BF"/>
          <w:sz w:val="24"/>
          <w:szCs w:val="24"/>
        </w:rPr>
        <w:t>« je participe »</w:t>
      </w:r>
      <w:r w:rsidRPr="00ED4CF4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Pr="00ED4CF4">
        <w:rPr>
          <w:rFonts w:ascii="Arial" w:hAnsi="Arial" w:cs="Arial"/>
          <w:sz w:val="24"/>
          <w:szCs w:val="24"/>
        </w:rPr>
        <w:t>en face du nom de la campagne pour commencer l’inscription</w:t>
      </w:r>
    </w:p>
    <w:p w14:paraId="5ED59502" w14:textId="0BCCCC86" w:rsidR="00337C48" w:rsidRPr="00ED4CF4" w:rsidRDefault="00337C48" w:rsidP="00224B8F">
      <w:pPr>
        <w:pStyle w:val="standard"/>
        <w:rPr>
          <w:rFonts w:ascii="Arial" w:hAnsi="Arial" w:cs="Arial"/>
        </w:rPr>
      </w:pPr>
      <w:r w:rsidRPr="00ED4CF4">
        <w:rPr>
          <w:rFonts w:ascii="Arial" w:hAnsi="Arial" w:cs="Arial"/>
        </w:rPr>
        <w:t xml:space="preserve"> - Un engagement dans une manifestation artistique ou culturelle (rencontres théâtrales, cinématographiques, chorales, etc.)</w:t>
      </w:r>
    </w:p>
    <w:p w14:paraId="42C24731" w14:textId="329F40F4" w:rsidR="00337C48" w:rsidRPr="00337C48" w:rsidRDefault="004D7490" w:rsidP="00BC4CA3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 encadrement assuré si possible</w:t>
      </w:r>
      <w:r w:rsidR="00337C48" w:rsidRPr="00337C48">
        <w:rPr>
          <w:rFonts w:ascii="Arial" w:hAnsi="Arial" w:cs="Arial"/>
        </w:rPr>
        <w:t xml:space="preserve"> par une équipe pluridisciplinaire.</w:t>
      </w:r>
    </w:p>
    <w:p w14:paraId="3231F7FF" w14:textId="4667EDDB" w:rsidR="00337C48" w:rsidRPr="00337C48" w:rsidRDefault="00916475" w:rsidP="00BC4CA3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Une co-construction du projet </w:t>
      </w:r>
      <w:r w:rsidR="00337C48" w:rsidRPr="00337C48">
        <w:rPr>
          <w:rFonts w:ascii="Arial" w:hAnsi="Arial" w:cs="Arial"/>
        </w:rPr>
        <w:t>avec une structure culturelle de proximité qui pourra solliciter une subvention auprès de la DRAC pour les interventions artistiques pour les ateliers cinéma, danse théâtre</w:t>
      </w:r>
      <w:r>
        <w:rPr>
          <w:rFonts w:ascii="Arial" w:hAnsi="Arial" w:cs="Arial"/>
        </w:rPr>
        <w:t xml:space="preserve"> et </w:t>
      </w:r>
      <w:r w:rsidR="00337C48" w:rsidRPr="00337C48">
        <w:rPr>
          <w:rFonts w:ascii="Arial" w:hAnsi="Arial" w:cs="Arial"/>
        </w:rPr>
        <w:t>arts du cirqu</w:t>
      </w:r>
      <w:r w:rsidR="00593EEE">
        <w:rPr>
          <w:rFonts w:ascii="Arial" w:hAnsi="Arial" w:cs="Arial"/>
        </w:rPr>
        <w:t>e, musique et arts plastiques</w:t>
      </w:r>
      <w:r w:rsidR="00337C48" w:rsidRPr="00337C48">
        <w:rPr>
          <w:rFonts w:ascii="Arial" w:hAnsi="Arial" w:cs="Arial"/>
        </w:rPr>
        <w:t>.</w:t>
      </w:r>
    </w:p>
    <w:p w14:paraId="4203B945" w14:textId="77777777" w:rsidR="00337C48" w:rsidRPr="00224B8F" w:rsidRDefault="00337C48" w:rsidP="00337C48">
      <w:pPr>
        <w:pStyle w:val="Titre3"/>
        <w:numPr>
          <w:ilvl w:val="0"/>
          <w:numId w:val="4"/>
        </w:numPr>
        <w:rPr>
          <w:rFonts w:ascii="Arial" w:hAnsi="Arial" w:cs="Arial"/>
          <w:b/>
          <w:bCs/>
        </w:rPr>
      </w:pPr>
      <w:r w:rsidRPr="00224B8F">
        <w:rPr>
          <w:rFonts w:ascii="Arial" w:hAnsi="Arial" w:cs="Arial"/>
          <w:b/>
          <w:bCs/>
        </w:rPr>
        <w:t>Les financements :</w:t>
      </w:r>
    </w:p>
    <w:p w14:paraId="23E7586C" w14:textId="77777777" w:rsidR="00337C48" w:rsidRPr="00337C48" w:rsidRDefault="00337C48" w:rsidP="00337C48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>L'établissement formulera via ADAGE une demande de dotation horaire (HSE) pour l’équipe pédagogique encadrant l’atelier.</w:t>
      </w:r>
    </w:p>
    <w:p w14:paraId="7040C3CE" w14:textId="16FA7FDC" w:rsidR="006973FA" w:rsidRDefault="00337C48" w:rsidP="006973FA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>La présence artistique est obligatoire pour les domaines du</w:t>
      </w:r>
      <w:r w:rsidR="006C0E7E">
        <w:rPr>
          <w:rFonts w:ascii="Arial" w:hAnsi="Arial" w:cs="Arial"/>
        </w:rPr>
        <w:t xml:space="preserve"> : </w:t>
      </w:r>
      <w:r w:rsidRPr="00337C48">
        <w:rPr>
          <w:rFonts w:ascii="Arial" w:hAnsi="Arial" w:cs="Arial"/>
        </w:rPr>
        <w:t xml:space="preserve">cinéma, danse, théâtre et arts du cirque. </w:t>
      </w:r>
    </w:p>
    <w:p w14:paraId="6D2A8C7A" w14:textId="37A26982" w:rsidR="006973FA" w:rsidRDefault="006973FA" w:rsidP="006973F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Concernant le financement des interventions artistiques se rapprocher des conseillers académiques EAC au sujet du partenaire afin que ce dernier sollicite éventuellement la DRAC </w:t>
      </w:r>
    </w:p>
    <w:p w14:paraId="522A4A8E" w14:textId="77777777" w:rsidR="00337C48" w:rsidRPr="00337C48" w:rsidRDefault="00337C48" w:rsidP="00337C48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>Les critères de territoire et public seront particulièrement pris en compte dans l'examen des dossiers pour ces co-financements.</w:t>
      </w:r>
    </w:p>
    <w:p w14:paraId="3B7B0B85" w14:textId="77777777" w:rsidR="00337C48" w:rsidRPr="00337C48" w:rsidRDefault="00337C48" w:rsidP="00337C48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>Une demande complémentaire de subvention peut être aussi faite auprès des collectivités territoriales.</w:t>
      </w:r>
    </w:p>
    <w:p w14:paraId="7A75B04D" w14:textId="0138EA22" w:rsidR="00337C48" w:rsidRPr="00337C48" w:rsidRDefault="00337C48" w:rsidP="00337C48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  <w:color w:val="C61932"/>
        </w:rPr>
        <w:t>Un établissement ne peut accueillir que 2 ateliers, dans 2 domaines différents (par exemple 1 établissement ne peut pas demander de financement pour l'ouverture de 2 ateliers scientifiques et techniques)</w:t>
      </w:r>
    </w:p>
    <w:p w14:paraId="0FF962A7" w14:textId="77777777" w:rsidR="00337C48" w:rsidRPr="00337C48" w:rsidRDefault="00337C48" w:rsidP="00337C48">
      <w:pPr>
        <w:pStyle w:val="NormalWeb"/>
        <w:rPr>
          <w:rFonts w:ascii="Arial" w:hAnsi="Arial" w:cs="Arial"/>
        </w:rPr>
      </w:pPr>
      <w:r w:rsidRPr="00337C48">
        <w:rPr>
          <w:rFonts w:ascii="Arial" w:hAnsi="Arial" w:cs="Arial"/>
        </w:rPr>
        <w:t xml:space="preserve">Pour tout complément d'information : </w:t>
      </w:r>
      <w:hyperlink r:id="rId8" w:tgtFrame="_blank" w:history="1">
        <w:r w:rsidRPr="00337C48">
          <w:rPr>
            <w:rStyle w:val="Lienhypertexte"/>
            <w:rFonts w:ascii="Arial" w:eastAsiaTheme="majorEastAsia" w:hAnsi="Arial" w:cs="Arial"/>
          </w:rPr>
          <w:t>ce.action-culturelle@ac-bordeaux.fr</w:t>
        </w:r>
      </w:hyperlink>
    </w:p>
    <w:p w14:paraId="0AE8CAEF" w14:textId="77777777" w:rsidR="00DE1F52" w:rsidRPr="00337C48" w:rsidRDefault="00DE1F52">
      <w:pPr>
        <w:rPr>
          <w:rFonts w:ascii="Arial" w:hAnsi="Arial" w:cs="Arial"/>
          <w:sz w:val="24"/>
          <w:szCs w:val="24"/>
        </w:rPr>
      </w:pPr>
    </w:p>
    <w:sectPr w:rsidR="00DE1F52" w:rsidRPr="00337C48" w:rsidSect="0065519B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689"/>
    <w:multiLevelType w:val="hybridMultilevel"/>
    <w:tmpl w:val="BD6087A2"/>
    <w:lvl w:ilvl="0" w:tplc="96C46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30D5"/>
    <w:multiLevelType w:val="multilevel"/>
    <w:tmpl w:val="4262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00A7"/>
    <w:multiLevelType w:val="hybridMultilevel"/>
    <w:tmpl w:val="8C5899FC"/>
    <w:lvl w:ilvl="0" w:tplc="E3248BE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336314C8"/>
    <w:multiLevelType w:val="multilevel"/>
    <w:tmpl w:val="D31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64E02"/>
    <w:multiLevelType w:val="multilevel"/>
    <w:tmpl w:val="F18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57B59"/>
    <w:multiLevelType w:val="multilevel"/>
    <w:tmpl w:val="D31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313F4"/>
    <w:multiLevelType w:val="multilevel"/>
    <w:tmpl w:val="4E4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48"/>
    <w:rsid w:val="000A23B0"/>
    <w:rsid w:val="00224B8F"/>
    <w:rsid w:val="00232827"/>
    <w:rsid w:val="00337C48"/>
    <w:rsid w:val="00444514"/>
    <w:rsid w:val="004D7490"/>
    <w:rsid w:val="0056248D"/>
    <w:rsid w:val="00593EEE"/>
    <w:rsid w:val="0065519B"/>
    <w:rsid w:val="006973FA"/>
    <w:rsid w:val="006B1DA9"/>
    <w:rsid w:val="006C0E7E"/>
    <w:rsid w:val="00901C10"/>
    <w:rsid w:val="00916475"/>
    <w:rsid w:val="00BC4CA3"/>
    <w:rsid w:val="00C61F80"/>
    <w:rsid w:val="00D02BD2"/>
    <w:rsid w:val="00DE1F52"/>
    <w:rsid w:val="00ED4CF4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1D7D"/>
  <w15:chartTrackingRefBased/>
  <w15:docId w15:val="{429F55EB-7335-46C7-8E3B-257BF8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37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7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C4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37C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7C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337C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37C48"/>
    <w:rPr>
      <w:b/>
      <w:bCs/>
    </w:rPr>
  </w:style>
  <w:style w:type="paragraph" w:customStyle="1" w:styleId="standard">
    <w:name w:val="standard"/>
    <w:basedOn w:val="Normal"/>
    <w:rsid w:val="0033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9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45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6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.ac-bordeaux.fr/ce.action-culturelle@ac-borde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ilrh.ac-bordeaux.fr/login/ct_logon_mixte.jsp?CT_ORIG_URL=%2Farena%2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pierson</dc:creator>
  <cp:keywords/>
  <dc:description/>
  <cp:lastModifiedBy>catherine pierson</cp:lastModifiedBy>
  <cp:revision>8</cp:revision>
  <cp:lastPrinted>2026-05-11T13:01:00Z</cp:lastPrinted>
  <dcterms:created xsi:type="dcterms:W3CDTF">2026-04-27T07:22:00Z</dcterms:created>
  <dcterms:modified xsi:type="dcterms:W3CDTF">2026-05-12T15:14:00Z</dcterms:modified>
</cp:coreProperties>
</file>