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2" w:type="dxa"/>
        <w:jc w:val="center"/>
        <w:tblCellMar>
          <w:left w:w="70" w:type="dxa"/>
          <w:right w:w="70" w:type="dxa"/>
        </w:tblCellMar>
        <w:tblLook w:val="04A0" w:firstRow="1" w:lastRow="0" w:firstColumn="1" w:lastColumn="0" w:noHBand="0" w:noVBand="1"/>
      </w:tblPr>
      <w:tblGrid>
        <w:gridCol w:w="9892"/>
      </w:tblGrid>
      <w:tr w:rsidR="0010047B" w:rsidRPr="00FA45C8" w:rsidTr="00FA45C8">
        <w:trPr>
          <w:trHeight w:val="400"/>
          <w:jc w:val="center"/>
        </w:trPr>
        <w:tc>
          <w:tcPr>
            <w:tcW w:w="9892" w:type="dxa"/>
            <w:tcBorders>
              <w:top w:val="single" w:sz="8" w:space="0" w:color="auto"/>
              <w:left w:val="single" w:sz="8" w:space="0" w:color="auto"/>
              <w:bottom w:val="nil"/>
              <w:right w:val="single" w:sz="8" w:space="0" w:color="000000"/>
            </w:tcBorders>
            <w:shd w:val="clear" w:color="000000" w:fill="0000FF"/>
            <w:vAlign w:val="center"/>
            <w:hideMark/>
          </w:tcPr>
          <w:p w:rsidR="003703DB" w:rsidRPr="00FA45C8" w:rsidRDefault="003703DB" w:rsidP="00FA45C8">
            <w:pPr>
              <w:spacing w:after="0" w:line="240" w:lineRule="auto"/>
              <w:jc w:val="center"/>
              <w:rPr>
                <w:rFonts w:ascii="Trebuchet MS" w:eastAsia="Times New Roman" w:hAnsi="Trebuchet MS" w:cs="Calibri"/>
                <w:b/>
                <w:bCs/>
                <w:color w:val="FFFFFF"/>
                <w:sz w:val="36"/>
                <w:szCs w:val="36"/>
                <w:lang w:eastAsia="fr-FR"/>
              </w:rPr>
            </w:pPr>
            <w:r w:rsidRPr="00FA45C8">
              <w:rPr>
                <w:rFonts w:ascii="Trebuchet MS" w:eastAsia="Times New Roman" w:hAnsi="Trebuchet MS" w:cs="Calibri"/>
                <w:b/>
                <w:bCs/>
                <w:color w:val="FFFFFF"/>
                <w:sz w:val="36"/>
                <w:szCs w:val="36"/>
                <w:lang w:eastAsia="fr-FR"/>
              </w:rPr>
              <w:t>SERVICE CIVIQUE</w:t>
            </w:r>
          </w:p>
          <w:p w:rsidR="0010047B" w:rsidRPr="00FA45C8" w:rsidRDefault="003703DB" w:rsidP="00FA45C8">
            <w:pPr>
              <w:spacing w:after="0" w:line="240" w:lineRule="auto"/>
              <w:jc w:val="center"/>
              <w:rPr>
                <w:rFonts w:ascii="Trebuchet MS" w:eastAsia="Times New Roman" w:hAnsi="Trebuchet MS" w:cs="Calibri"/>
                <w:b/>
                <w:bCs/>
                <w:color w:val="FFFFFF"/>
                <w:lang w:eastAsia="fr-FR"/>
              </w:rPr>
            </w:pPr>
            <w:r w:rsidRPr="00FA45C8">
              <w:rPr>
                <w:rFonts w:ascii="Trebuchet MS" w:eastAsia="Times New Roman" w:hAnsi="Trebuchet MS" w:cs="Calibri"/>
                <w:b/>
                <w:bCs/>
                <w:color w:val="FFFFFF"/>
                <w:sz w:val="36"/>
                <w:szCs w:val="36"/>
                <w:lang w:eastAsia="fr-FR"/>
              </w:rPr>
              <w:t xml:space="preserve">Liste des pays ouvrant droit à la </w:t>
            </w:r>
            <w:proofErr w:type="gramStart"/>
            <w:r w:rsidRPr="00FA45C8">
              <w:rPr>
                <w:rFonts w:ascii="Trebuchet MS" w:eastAsia="Times New Roman" w:hAnsi="Trebuchet MS" w:cs="Calibri"/>
                <w:b/>
                <w:bCs/>
                <w:color w:val="FFFFFF"/>
                <w:sz w:val="36"/>
                <w:szCs w:val="36"/>
                <w:lang w:eastAsia="fr-FR"/>
              </w:rPr>
              <w:t>réciprocité</w:t>
            </w:r>
            <w:r w:rsidR="0010047B" w:rsidRPr="00FA45C8">
              <w:rPr>
                <w:rFonts w:ascii="Trebuchet MS" w:eastAsia="Times New Roman" w:hAnsi="Trebuchet MS" w:cs="Calibri"/>
                <w:b/>
                <w:bCs/>
                <w:color w:val="FFFFFF"/>
                <w:sz w:val="36"/>
                <w:szCs w:val="36"/>
                <w:lang w:eastAsia="fr-FR"/>
              </w:rPr>
              <w:t xml:space="preserve">  Année</w:t>
            </w:r>
            <w:proofErr w:type="gramEnd"/>
            <w:r w:rsidR="0010047B" w:rsidRPr="00FA45C8">
              <w:rPr>
                <w:rFonts w:ascii="Trebuchet MS" w:eastAsia="Times New Roman" w:hAnsi="Trebuchet MS" w:cs="Calibri"/>
                <w:b/>
                <w:bCs/>
                <w:color w:val="FFFFFF"/>
                <w:sz w:val="36"/>
                <w:szCs w:val="36"/>
                <w:lang w:eastAsia="fr-FR"/>
              </w:rPr>
              <w:t xml:space="preserve"> 202</w:t>
            </w:r>
            <w:r w:rsidR="00FA45C8" w:rsidRPr="00FA45C8">
              <w:rPr>
                <w:rFonts w:ascii="Trebuchet MS" w:eastAsia="Times New Roman" w:hAnsi="Trebuchet MS" w:cs="Calibri"/>
                <w:b/>
                <w:bCs/>
                <w:color w:val="FFFFFF"/>
                <w:sz w:val="36"/>
                <w:szCs w:val="36"/>
                <w:lang w:eastAsia="fr-FR"/>
              </w:rPr>
              <w:t>2</w:t>
            </w:r>
          </w:p>
        </w:tc>
      </w:tr>
      <w:tr w:rsidR="0010047B" w:rsidRPr="00FA45C8" w:rsidTr="00FA45C8">
        <w:trPr>
          <w:trHeight w:val="209"/>
          <w:jc w:val="center"/>
        </w:trPr>
        <w:tc>
          <w:tcPr>
            <w:tcW w:w="9892" w:type="dxa"/>
            <w:tcBorders>
              <w:top w:val="nil"/>
              <w:left w:val="single" w:sz="8" w:space="0" w:color="auto"/>
              <w:bottom w:val="single" w:sz="8" w:space="0" w:color="auto"/>
              <w:right w:val="single" w:sz="8" w:space="0" w:color="000000"/>
            </w:tcBorders>
            <w:shd w:val="clear" w:color="000000" w:fill="0000FF"/>
            <w:vAlign w:val="center"/>
            <w:hideMark/>
          </w:tcPr>
          <w:p w:rsidR="0010047B" w:rsidRPr="00FA45C8" w:rsidRDefault="0010047B" w:rsidP="00FA45C8">
            <w:pPr>
              <w:spacing w:after="0" w:line="240" w:lineRule="auto"/>
              <w:jc w:val="both"/>
              <w:rPr>
                <w:rFonts w:ascii="Trebuchet MS" w:eastAsia="Times New Roman" w:hAnsi="Trebuchet MS" w:cs="Calibri"/>
                <w:b/>
                <w:bCs/>
                <w:color w:val="FFC000"/>
                <w:lang w:eastAsia="fr-FR"/>
              </w:rPr>
            </w:pPr>
          </w:p>
        </w:tc>
      </w:tr>
    </w:tbl>
    <w:p w:rsidR="0054329A" w:rsidRPr="00FA45C8" w:rsidRDefault="0054329A" w:rsidP="00FA45C8">
      <w:pPr>
        <w:jc w:val="both"/>
        <w:rPr>
          <w:rFonts w:ascii="Trebuchet MS" w:hAnsi="Trebuchet MS"/>
        </w:rPr>
      </w:pPr>
    </w:p>
    <w:p w:rsidR="00FA45C8" w:rsidRDefault="00FA45C8" w:rsidP="00FA45C8">
      <w:pPr>
        <w:jc w:val="both"/>
        <w:rPr>
          <w:rFonts w:ascii="Trebuchet MS" w:hAnsi="Trebuchet MS"/>
        </w:rPr>
      </w:pPr>
      <w:r w:rsidRPr="00FA45C8">
        <w:rPr>
          <w:rFonts w:ascii="Trebuchet MS" w:hAnsi="Trebuchet MS"/>
        </w:rPr>
        <w:t xml:space="preserve">Le principe de réciprocité permet, à tous les pays accueillant des volontaires français, d’envoyer en France des jeunes pour effectuer un engagement de Service Civique. </w:t>
      </w:r>
    </w:p>
    <w:p w:rsidR="00FA45C8" w:rsidRDefault="00FA45C8" w:rsidP="00FA45C8">
      <w:pPr>
        <w:jc w:val="both"/>
        <w:rPr>
          <w:rFonts w:ascii="Trebuchet MS" w:hAnsi="Trebuchet MS"/>
        </w:rPr>
      </w:pPr>
      <w:r w:rsidRPr="00FA45C8">
        <w:rPr>
          <w:rFonts w:ascii="Trebuchet MS" w:hAnsi="Trebuchet MS"/>
        </w:rPr>
        <w:t>Un organisme agréé français peut donc accueillir un volontaire d’un pays partenaire, si ce pays accueille des volontaires français. Le principe de réciprocité permet ainsi de recevoir en France un jeune étranger venu expressément en France pour réaliser une mission de Service Civique.</w:t>
      </w:r>
    </w:p>
    <w:p w:rsidR="00FA45C8" w:rsidRPr="00FA45C8" w:rsidRDefault="004D13F4" w:rsidP="00FA45C8">
      <w:pPr>
        <w:jc w:val="both"/>
        <w:rPr>
          <w:rFonts w:ascii="Trebuchet MS" w:hAnsi="Trebuchet MS"/>
        </w:rPr>
      </w:pPr>
      <w:r>
        <w:rPr>
          <w:rFonts w:ascii="Trebuchet MS" w:hAnsi="Trebuchet MS"/>
        </w:rPr>
        <w:t xml:space="preserve">Source : </w:t>
      </w:r>
      <w:hyperlink r:id="rId6" w:history="1">
        <w:r w:rsidRPr="00AC0C83">
          <w:rPr>
            <w:rStyle w:val="Lienhypertexte"/>
            <w:rFonts w:ascii="Trebuchet MS" w:hAnsi="Trebuchet MS"/>
          </w:rPr>
          <w:t>https://www.service-civique.gouv.fr/le-mag/actualites/la-reciprocite-mode-demploi</w:t>
        </w:r>
      </w:hyperlink>
      <w:r>
        <w:rPr>
          <w:rFonts w:ascii="Trebuchet MS" w:hAnsi="Trebuchet MS"/>
        </w:rPr>
        <w:t xml:space="preserve"> </w:t>
      </w:r>
    </w:p>
    <w:p w:rsidR="00FA45C8" w:rsidRPr="004D13F4" w:rsidRDefault="00FA45C8" w:rsidP="00FA45C8">
      <w:pPr>
        <w:jc w:val="both"/>
        <w:rPr>
          <w:rFonts w:ascii="Trebuchet MS" w:hAnsi="Trebuchet MS"/>
          <w:sz w:val="16"/>
          <w:szCs w:val="16"/>
        </w:rPr>
      </w:pPr>
      <w:bookmarkStart w:id="0" w:name="_GoBack"/>
      <w:bookmarkEnd w:id="0"/>
    </w:p>
    <w:tbl>
      <w:tblPr>
        <w:tblpPr w:leftFromText="141" w:rightFromText="141" w:vertAnchor="text" w:tblpXSpec="center" w:tblpY="1"/>
        <w:tblOverlap w:val="never"/>
        <w:tblW w:w="5802" w:type="dxa"/>
        <w:tblCellMar>
          <w:left w:w="70" w:type="dxa"/>
          <w:right w:w="70" w:type="dxa"/>
        </w:tblCellMar>
        <w:tblLook w:val="04A0" w:firstRow="1" w:lastRow="0" w:firstColumn="1" w:lastColumn="0" w:noHBand="0" w:noVBand="1"/>
      </w:tblPr>
      <w:tblGrid>
        <w:gridCol w:w="2900"/>
        <w:gridCol w:w="2902"/>
      </w:tblGrid>
      <w:tr w:rsidR="0010047B" w:rsidRPr="00FA45C8" w:rsidTr="004D13F4">
        <w:trPr>
          <w:trHeight w:val="510"/>
        </w:trPr>
        <w:tc>
          <w:tcPr>
            <w:tcW w:w="2900" w:type="dxa"/>
            <w:tcBorders>
              <w:top w:val="single" w:sz="8" w:space="0" w:color="auto"/>
              <w:left w:val="single" w:sz="8" w:space="0" w:color="auto"/>
              <w:bottom w:val="nil"/>
              <w:right w:val="single" w:sz="8" w:space="0" w:color="auto"/>
            </w:tcBorders>
            <w:shd w:val="clear" w:color="000000" w:fill="E4DFEC"/>
            <w:noWrap/>
            <w:vAlign w:val="center"/>
            <w:hideMark/>
          </w:tcPr>
          <w:p w:rsidR="0010047B" w:rsidRPr="00FA45C8" w:rsidRDefault="0010047B" w:rsidP="00FA45C8">
            <w:pPr>
              <w:spacing w:after="0" w:line="240" w:lineRule="auto"/>
              <w:jc w:val="both"/>
              <w:rPr>
                <w:rFonts w:ascii="Trebuchet MS" w:eastAsia="Times New Roman" w:hAnsi="Trebuchet MS" w:cs="Calibri"/>
                <w:b/>
                <w:bCs/>
                <w:color w:val="000000"/>
                <w:sz w:val="20"/>
                <w:szCs w:val="20"/>
                <w:lang w:eastAsia="fr-FR"/>
              </w:rPr>
            </w:pPr>
            <w:r w:rsidRPr="00FA45C8">
              <w:rPr>
                <w:rFonts w:ascii="Trebuchet MS" w:eastAsia="Times New Roman" w:hAnsi="Trebuchet MS" w:cs="Calibri"/>
                <w:b/>
                <w:bCs/>
                <w:color w:val="000000"/>
                <w:sz w:val="20"/>
                <w:szCs w:val="20"/>
                <w:lang w:eastAsia="fr-FR"/>
              </w:rPr>
              <w:t>Pays</w:t>
            </w:r>
          </w:p>
        </w:tc>
        <w:tc>
          <w:tcPr>
            <w:tcW w:w="2902" w:type="dxa"/>
            <w:tcBorders>
              <w:top w:val="single" w:sz="8" w:space="0" w:color="auto"/>
              <w:left w:val="nil"/>
              <w:bottom w:val="nil"/>
              <w:right w:val="single" w:sz="8" w:space="0" w:color="auto"/>
            </w:tcBorders>
            <w:shd w:val="clear" w:color="000000" w:fill="E4DFEC"/>
            <w:vAlign w:val="center"/>
            <w:hideMark/>
          </w:tcPr>
          <w:p w:rsidR="0010047B" w:rsidRPr="00FA45C8" w:rsidRDefault="0010047B" w:rsidP="00FA45C8">
            <w:pPr>
              <w:spacing w:after="0" w:line="240" w:lineRule="auto"/>
              <w:jc w:val="both"/>
              <w:rPr>
                <w:rFonts w:ascii="Trebuchet MS" w:eastAsia="Times New Roman" w:hAnsi="Trebuchet MS" w:cs="Calibri"/>
                <w:b/>
                <w:bCs/>
                <w:color w:val="000000"/>
                <w:sz w:val="20"/>
                <w:szCs w:val="20"/>
                <w:lang w:eastAsia="fr-FR"/>
              </w:rPr>
            </w:pPr>
            <w:r w:rsidRPr="00FA45C8">
              <w:rPr>
                <w:rFonts w:ascii="Trebuchet MS" w:eastAsia="Times New Roman" w:hAnsi="Trebuchet MS" w:cs="Calibri"/>
                <w:b/>
                <w:bCs/>
                <w:color w:val="000000"/>
                <w:sz w:val="20"/>
                <w:szCs w:val="20"/>
                <w:lang w:eastAsia="fr-FR"/>
              </w:rPr>
              <w:t>Zone géographique</w:t>
            </w:r>
          </w:p>
        </w:tc>
      </w:tr>
      <w:tr w:rsidR="0010047B" w:rsidRPr="00FA45C8" w:rsidTr="004D13F4">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ALBANIE</w:t>
            </w:r>
          </w:p>
        </w:tc>
        <w:tc>
          <w:tcPr>
            <w:tcW w:w="2902" w:type="dxa"/>
            <w:tcBorders>
              <w:top w:val="single" w:sz="4" w:space="0" w:color="auto"/>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EUC</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ALLEMAGNE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ARMENIE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EUC</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AUTRICHE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BELGIQUE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BENIN</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BOLIVIE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AME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BULGARIE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CAMBODGE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AS</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CAMEROUN</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CANADA</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AME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COLOMBIE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AME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CONGO</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COTE D'IVOIRE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DOMINICAINE (REPUBLIQUE)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AME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EGYPTE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ANMO</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EQUATEUR</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AME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ESPAGNE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ETHIOPIE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GRECE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GUATEMALA</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AME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GUINEE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HONDURAS</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AME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HONGRIE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INDE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AS</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INDONESIE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AS</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IRLANDE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ITALIE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JAPON</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AS</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KENYA</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KOSOVO</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#N/A</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LAOS</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AS</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LETTONIE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EUC</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LIBAN</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ANMO</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lastRenderedPageBreak/>
              <w:t>LITUANIE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#N/A</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MACEDOINE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EUC</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MADAGASCAR</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MAROC</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ANMO</w:t>
            </w:r>
          </w:p>
        </w:tc>
      </w:tr>
      <w:tr w:rsidR="0010047B" w:rsidRPr="00FA45C8" w:rsidTr="004D13F4">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MAURITANIE</w:t>
            </w:r>
          </w:p>
        </w:tc>
        <w:tc>
          <w:tcPr>
            <w:tcW w:w="2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MEXIQUE</w:t>
            </w:r>
          </w:p>
        </w:tc>
        <w:tc>
          <w:tcPr>
            <w:tcW w:w="2902" w:type="dxa"/>
            <w:tcBorders>
              <w:top w:val="single" w:sz="4" w:space="0" w:color="auto"/>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AME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MOLDAVIE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EUC</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NAMIBIE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NEPAL</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AS</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NIGER</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OUGANDA</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#N/A</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PALESTINE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ANMO</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PAYS-BAS</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PEROU</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AME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PHILIPPINES</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AS</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POLOGNE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PORTUGAL</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REPUBLIQUE TCHEQUE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#N/A</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ROUMANIE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ROYAUME-UNI</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RWANDA</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SAINT-CHRISTOPHE ET NIEVES</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#N/A</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SAINTE-LUCIE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AME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SAINT-VINCENT</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#N/A</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SAO TOME-ET-PRINCIPE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#N/A</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SENEGAL</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SERBIE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EUC</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SLOVAQUIE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SLOVENIE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EUC</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SUEDE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SUISSE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THAILANDE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AS</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TOGO</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AOI</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TRINITE ET TOBAGO</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#N/A</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TUNISIE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ANMO</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TURQUIE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DUE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UKRAINE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EUC</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URUGUAY</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AME</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VIET NAM</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AS</w:t>
            </w:r>
          </w:p>
        </w:tc>
      </w:tr>
      <w:tr w:rsidR="0010047B" w:rsidRPr="00FA45C8" w:rsidTr="004D13F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ZAMBIE</w:t>
            </w:r>
          </w:p>
        </w:tc>
        <w:tc>
          <w:tcPr>
            <w:tcW w:w="2902" w:type="dxa"/>
            <w:tcBorders>
              <w:top w:val="nil"/>
              <w:left w:val="nil"/>
              <w:bottom w:val="single" w:sz="4" w:space="0" w:color="auto"/>
              <w:right w:val="single" w:sz="4" w:space="0" w:color="auto"/>
            </w:tcBorders>
            <w:shd w:val="clear" w:color="auto" w:fill="auto"/>
            <w:noWrap/>
            <w:vAlign w:val="bottom"/>
            <w:hideMark/>
          </w:tcPr>
          <w:p w:rsidR="0010047B" w:rsidRPr="00FA45C8" w:rsidRDefault="0010047B" w:rsidP="00FA45C8">
            <w:pPr>
              <w:spacing w:after="0" w:line="240" w:lineRule="auto"/>
              <w:jc w:val="both"/>
              <w:rPr>
                <w:rFonts w:ascii="Trebuchet MS" w:eastAsia="Times New Roman" w:hAnsi="Trebuchet MS" w:cs="Calibri"/>
                <w:color w:val="000000"/>
                <w:lang w:eastAsia="fr-FR"/>
              </w:rPr>
            </w:pPr>
            <w:r w:rsidRPr="00FA45C8">
              <w:rPr>
                <w:rFonts w:ascii="Trebuchet MS" w:eastAsia="Times New Roman" w:hAnsi="Trebuchet MS" w:cs="Calibri"/>
                <w:color w:val="000000"/>
                <w:lang w:eastAsia="fr-FR"/>
              </w:rPr>
              <w:t>#N/A</w:t>
            </w:r>
          </w:p>
        </w:tc>
      </w:tr>
    </w:tbl>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p>
    <w:p w:rsidR="0010047B" w:rsidRPr="00FA45C8" w:rsidRDefault="0010047B" w:rsidP="00FA45C8">
      <w:pPr>
        <w:jc w:val="both"/>
        <w:rPr>
          <w:rFonts w:ascii="Trebuchet MS" w:hAnsi="Trebuchet MS"/>
        </w:rPr>
      </w:pPr>
      <w:r w:rsidRPr="00FA45C8">
        <w:rPr>
          <w:rFonts w:ascii="Trebuchet MS" w:hAnsi="Trebuchet MS"/>
        </w:rPr>
        <w:br w:type="textWrapping" w:clear="all"/>
      </w:r>
    </w:p>
    <w:sectPr w:rsidR="0010047B" w:rsidRPr="00FA45C8" w:rsidSect="00FA45C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3F4" w:rsidRDefault="004D13F4" w:rsidP="004D13F4">
      <w:pPr>
        <w:spacing w:after="0" w:line="240" w:lineRule="auto"/>
      </w:pPr>
      <w:r>
        <w:separator/>
      </w:r>
    </w:p>
  </w:endnote>
  <w:endnote w:type="continuationSeparator" w:id="0">
    <w:p w:rsidR="004D13F4" w:rsidRDefault="004D13F4" w:rsidP="004D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3F4" w:rsidRPr="004D13F4" w:rsidRDefault="004D13F4">
    <w:pPr>
      <w:pStyle w:val="Pieddepage"/>
      <w:rPr>
        <w:rFonts w:ascii="Trebuchet MS" w:hAnsi="Trebuchet MS"/>
        <w:i/>
        <w:sz w:val="16"/>
        <w:szCs w:val="16"/>
      </w:rPr>
    </w:pPr>
    <w:r w:rsidRPr="004D13F4">
      <w:rPr>
        <w:rFonts w:ascii="Trebuchet MS" w:hAnsi="Trebuchet MS"/>
        <w:i/>
        <w:sz w:val="16"/>
        <w:szCs w:val="16"/>
      </w:rPr>
      <w:t>DRAJES NA – 2022 – Pôle JEPVA - 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3F4" w:rsidRDefault="004D13F4" w:rsidP="004D13F4">
      <w:pPr>
        <w:spacing w:after="0" w:line="240" w:lineRule="auto"/>
      </w:pPr>
      <w:r>
        <w:separator/>
      </w:r>
    </w:p>
  </w:footnote>
  <w:footnote w:type="continuationSeparator" w:id="0">
    <w:p w:rsidR="004D13F4" w:rsidRDefault="004D13F4" w:rsidP="004D13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7B"/>
    <w:rsid w:val="0010047B"/>
    <w:rsid w:val="003703DB"/>
    <w:rsid w:val="004D13F4"/>
    <w:rsid w:val="0054329A"/>
    <w:rsid w:val="00AD1007"/>
    <w:rsid w:val="00FA45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051A"/>
  <w15:chartTrackingRefBased/>
  <w15:docId w15:val="{C8468CC3-C37C-4ACA-95B0-AB3AAB69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D13F4"/>
    <w:rPr>
      <w:color w:val="0563C1" w:themeColor="hyperlink"/>
      <w:u w:val="single"/>
    </w:rPr>
  </w:style>
  <w:style w:type="character" w:styleId="Mentionnonrsolue">
    <w:name w:val="Unresolved Mention"/>
    <w:basedOn w:val="Policepardfaut"/>
    <w:uiPriority w:val="99"/>
    <w:semiHidden/>
    <w:unhideWhenUsed/>
    <w:rsid w:val="004D13F4"/>
    <w:rPr>
      <w:color w:val="605E5C"/>
      <w:shd w:val="clear" w:color="auto" w:fill="E1DFDD"/>
    </w:rPr>
  </w:style>
  <w:style w:type="paragraph" w:styleId="En-tte">
    <w:name w:val="header"/>
    <w:basedOn w:val="Normal"/>
    <w:link w:val="En-tteCar"/>
    <w:uiPriority w:val="99"/>
    <w:unhideWhenUsed/>
    <w:rsid w:val="004D13F4"/>
    <w:pPr>
      <w:tabs>
        <w:tab w:val="center" w:pos="4536"/>
        <w:tab w:val="right" w:pos="9072"/>
      </w:tabs>
      <w:spacing w:after="0" w:line="240" w:lineRule="auto"/>
    </w:pPr>
  </w:style>
  <w:style w:type="character" w:customStyle="1" w:styleId="En-tteCar">
    <w:name w:val="En-tête Car"/>
    <w:basedOn w:val="Policepardfaut"/>
    <w:link w:val="En-tte"/>
    <w:uiPriority w:val="99"/>
    <w:rsid w:val="004D13F4"/>
  </w:style>
  <w:style w:type="paragraph" w:styleId="Pieddepage">
    <w:name w:val="footer"/>
    <w:basedOn w:val="Normal"/>
    <w:link w:val="PieddepageCar"/>
    <w:uiPriority w:val="99"/>
    <w:unhideWhenUsed/>
    <w:rsid w:val="004D13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78372">
      <w:bodyDiv w:val="1"/>
      <w:marLeft w:val="0"/>
      <w:marRight w:val="0"/>
      <w:marTop w:val="0"/>
      <w:marBottom w:val="0"/>
      <w:divBdr>
        <w:top w:val="none" w:sz="0" w:space="0" w:color="auto"/>
        <w:left w:val="none" w:sz="0" w:space="0" w:color="auto"/>
        <w:bottom w:val="none" w:sz="0" w:space="0" w:color="auto"/>
        <w:right w:val="none" w:sz="0" w:space="0" w:color="auto"/>
      </w:divBdr>
    </w:div>
    <w:div w:id="1196507715">
      <w:bodyDiv w:val="1"/>
      <w:marLeft w:val="0"/>
      <w:marRight w:val="0"/>
      <w:marTop w:val="0"/>
      <w:marBottom w:val="0"/>
      <w:divBdr>
        <w:top w:val="none" w:sz="0" w:space="0" w:color="auto"/>
        <w:left w:val="none" w:sz="0" w:space="0" w:color="auto"/>
        <w:bottom w:val="none" w:sz="0" w:space="0" w:color="auto"/>
        <w:right w:val="none" w:sz="0" w:space="0" w:color="auto"/>
      </w:divBdr>
    </w:div>
    <w:div w:id="18189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rvice-civique.gouv.fr/le-mag/actualites/la-reciprocite-mode-demplo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1545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St�phanie LADJADJ</dc:creator>
  <cp:keywords/>
  <dc:description/>
  <cp:lastModifiedBy>Sophie LAVERGNE</cp:lastModifiedBy>
  <cp:revision>4</cp:revision>
  <dcterms:created xsi:type="dcterms:W3CDTF">2022-09-12T11:56:00Z</dcterms:created>
  <dcterms:modified xsi:type="dcterms:W3CDTF">2022-12-05T17:21:00Z</dcterms:modified>
</cp:coreProperties>
</file>