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E8" w:rsidRDefault="005F61E8" w:rsidP="005F61E8">
      <w:pPr>
        <w:pStyle w:val="NormalWeb"/>
        <w:rPr>
          <w:rFonts w:ascii="Arial" w:hAnsi="Arial" w:cs="Arial"/>
          <w:sz w:val="20"/>
          <w:szCs w:val="20"/>
          <w:shd w:val="clear" w:color="auto" w:fill="FFFFFF"/>
        </w:rPr>
      </w:pPr>
    </w:p>
    <w:p w:rsidR="005F61E8" w:rsidRPr="005F61E8" w:rsidRDefault="005F61E8" w:rsidP="005F61E8">
      <w:pPr>
        <w:pStyle w:val="NormalWeb"/>
        <w:rPr>
          <w:rFonts w:ascii="Arial" w:hAnsi="Arial" w:cs="Arial"/>
          <w:b/>
          <w:sz w:val="28"/>
          <w:szCs w:val="28"/>
          <w:shd w:val="clear" w:color="auto" w:fill="FFFFFF"/>
        </w:rPr>
      </w:pPr>
      <w:r w:rsidRPr="005F61E8">
        <w:rPr>
          <w:rFonts w:ascii="Arial" w:hAnsi="Arial" w:cs="Arial"/>
          <w:b/>
          <w:sz w:val="28"/>
          <w:szCs w:val="28"/>
          <w:shd w:val="clear" w:color="auto" w:fill="FFFFFF"/>
        </w:rPr>
        <w:t>Episode caniculaire : vigilances et préconisations</w:t>
      </w:r>
    </w:p>
    <w:p w:rsidR="005F61E8" w:rsidRDefault="005F61E8" w:rsidP="005F61E8">
      <w:pPr>
        <w:pStyle w:val="NormalWeb"/>
        <w:jc w:val="both"/>
      </w:pPr>
      <w:r>
        <w:rPr>
          <w:rFonts w:ascii="Arial" w:hAnsi="Arial" w:cs="Arial"/>
          <w:sz w:val="20"/>
          <w:szCs w:val="20"/>
          <w:shd w:val="clear" w:color="auto" w:fill="FFFFFF"/>
        </w:rPr>
        <w:t xml:space="preserve">Les températures exceptionnelles par endroit, au-dessus de certains records absolus justifient le passage en vigilance rouge de plusieurs départements de la frange atlantique et l’extension de la vigilance orange à de nombreux départements vers le nord et la région Centre. </w:t>
      </w:r>
    </w:p>
    <w:p w:rsidR="005F61E8" w:rsidRDefault="005F61E8" w:rsidP="005F61E8">
      <w:pPr>
        <w:pStyle w:val="NormalWeb"/>
        <w:jc w:val="both"/>
      </w:pPr>
      <w:r>
        <w:rPr>
          <w:shd w:val="clear" w:color="auto" w:fill="FFFFFF"/>
        </w:rPr>
        <w:t> </w:t>
      </w:r>
      <w:r>
        <w:rPr>
          <w:rStyle w:val="lev"/>
          <w:rFonts w:ascii="Arial" w:hAnsi="Arial" w:cs="Arial"/>
          <w:sz w:val="20"/>
          <w:szCs w:val="20"/>
          <w:shd w:val="clear" w:color="auto" w:fill="FFFFFF"/>
        </w:rPr>
        <w:t xml:space="preserve">15 départements sont placés en vigilance </w:t>
      </w:r>
      <w:proofErr w:type="gramStart"/>
      <w:r>
        <w:rPr>
          <w:rStyle w:val="lev"/>
          <w:rFonts w:ascii="Arial" w:hAnsi="Arial" w:cs="Arial"/>
          <w:sz w:val="20"/>
          <w:szCs w:val="20"/>
          <w:shd w:val="clear" w:color="auto" w:fill="FFFFFF"/>
        </w:rPr>
        <w:t>rouge:</w:t>
      </w:r>
      <w:proofErr w:type="gramEnd"/>
      <w:r>
        <w:rPr>
          <w:rStyle w:val="lev"/>
          <w:rFonts w:ascii="Arial" w:hAnsi="Arial" w:cs="Arial"/>
          <w:sz w:val="20"/>
          <w:szCs w:val="20"/>
          <w:shd w:val="clear" w:color="auto" w:fill="FFFFFF"/>
        </w:rPr>
        <w:t xml:space="preserve"> </w:t>
      </w:r>
      <w:r>
        <w:rPr>
          <w:rFonts w:ascii="Arial" w:hAnsi="Arial" w:cs="Arial"/>
          <w:sz w:val="20"/>
          <w:szCs w:val="20"/>
          <w:shd w:val="clear" w:color="auto" w:fill="FFFFFF"/>
        </w:rPr>
        <w:t xml:space="preserve">Côtes-d'Armor, Finistère , </w:t>
      </w:r>
      <w:r>
        <w:rPr>
          <w:rStyle w:val="scayt-misspell-word"/>
          <w:rFonts w:ascii="Arial" w:hAnsi="Arial" w:cs="Arial"/>
          <w:sz w:val="20"/>
          <w:szCs w:val="20"/>
          <w:shd w:val="clear" w:color="auto" w:fill="FFFFFF"/>
        </w:rPr>
        <w:t>Ille</w:t>
      </w:r>
      <w:r>
        <w:rPr>
          <w:rFonts w:ascii="Arial" w:hAnsi="Arial" w:cs="Arial"/>
          <w:sz w:val="20"/>
          <w:szCs w:val="20"/>
          <w:shd w:val="clear" w:color="auto" w:fill="FFFFFF"/>
        </w:rPr>
        <w:t xml:space="preserve">-et-Vilaine, Morbihan, </w:t>
      </w:r>
      <w:r w:rsidRPr="005F61E8">
        <w:rPr>
          <w:rStyle w:val="lev"/>
          <w:color w:val="FF0000"/>
          <w:sz w:val="32"/>
          <w:szCs w:val="32"/>
          <w:shd w:val="clear" w:color="auto" w:fill="FFFFFF"/>
        </w:rPr>
        <w:t>Charente, Charente-Maritime, Dordogne, Gironde, Landes, Lot-et-Garonne, Deux-Sèvres</w:t>
      </w:r>
      <w:r>
        <w:rPr>
          <w:rFonts w:ascii="Arial" w:hAnsi="Arial" w:cs="Arial"/>
          <w:sz w:val="20"/>
          <w:szCs w:val="20"/>
          <w:shd w:val="clear" w:color="auto" w:fill="FFFFFF"/>
        </w:rPr>
        <w:t xml:space="preserve">, Gers, Loire-Atlantique, Maine-et-Loire, Vendée. </w:t>
      </w:r>
    </w:p>
    <w:p w:rsidR="005F61E8" w:rsidRDefault="005F61E8" w:rsidP="005F61E8">
      <w:pPr>
        <w:pStyle w:val="NormalWeb"/>
        <w:jc w:val="both"/>
      </w:pPr>
      <w:r>
        <w:rPr>
          <w:shd w:val="clear" w:color="auto" w:fill="FFFFFF"/>
        </w:rPr>
        <w:t> </w:t>
      </w:r>
      <w:r>
        <w:rPr>
          <w:rStyle w:val="lev"/>
          <w:rFonts w:ascii="Arial" w:hAnsi="Arial" w:cs="Arial"/>
          <w:sz w:val="20"/>
          <w:szCs w:val="20"/>
          <w:shd w:val="clear" w:color="auto" w:fill="FFFFFF"/>
        </w:rPr>
        <w:t>51 départements sont placés en vigilance orange :</w:t>
      </w:r>
      <w:r>
        <w:rPr>
          <w:rFonts w:ascii="Arial" w:hAnsi="Arial" w:cs="Arial"/>
          <w:sz w:val="20"/>
          <w:szCs w:val="20"/>
          <w:shd w:val="clear" w:color="auto" w:fill="FFFFFF"/>
        </w:rPr>
        <w:t xml:space="preserve"> Ardèche, Cantal, Drôme, Isère, Rhône, Savoie, Haute-Savoie, Nièvre, Yonne, Cher, Eure-et-Loir, Indre , Indre-et-Loire, Loir-et-Cher, Loiret, Aisne, Nord, Oise, Pas-de-Calais, Somme, Paris et Petite Couronne, Seine-et-Marne, Yvelines, Essonne, Val-d'Oise, Corrèze, </w:t>
      </w:r>
      <w:r w:rsidRPr="005F61E8">
        <w:rPr>
          <w:rStyle w:val="lev"/>
          <w:rFonts w:ascii="Arial" w:hAnsi="Arial" w:cs="Arial"/>
          <w:color w:val="FF0000"/>
          <w:sz w:val="32"/>
          <w:szCs w:val="32"/>
          <w:shd w:val="clear" w:color="auto" w:fill="FFFFFF"/>
        </w:rPr>
        <w:t>Pyrénées-Atlantiques, Vienne, Haute-Vienne</w:t>
      </w:r>
      <w:r w:rsidRPr="005F61E8">
        <w:rPr>
          <w:rFonts w:ascii="Arial" w:hAnsi="Arial" w:cs="Arial"/>
          <w:sz w:val="32"/>
          <w:szCs w:val="32"/>
          <w:shd w:val="clear" w:color="auto" w:fill="FFFFFF"/>
        </w:rPr>
        <w:t xml:space="preserve">, </w:t>
      </w:r>
      <w:r>
        <w:rPr>
          <w:rFonts w:ascii="Arial" w:hAnsi="Arial" w:cs="Arial"/>
          <w:sz w:val="20"/>
          <w:szCs w:val="20"/>
          <w:shd w:val="clear" w:color="auto" w:fill="FFFFFF"/>
        </w:rPr>
        <w:t>Calvados, Eure, Manche, Orne, Seine-Maritime, Ariège, Aveyron, Gard, Haute-Garonne, Lot, Hautes-Pyrénées, Tarn, Tarn-et-Garonne, Mayenne, Sarthe, Alpes-de-Haute-Provence, Hautes-Alpes, Alpes-Maritimes, Vaucluse.</w:t>
      </w:r>
    </w:p>
    <w:p w:rsidR="005F61E8" w:rsidRDefault="005F61E8" w:rsidP="005F61E8">
      <w:pPr>
        <w:pStyle w:val="NormalWeb"/>
        <w:jc w:val="both"/>
      </w:pPr>
      <w:r>
        <w:rPr>
          <w:shd w:val="clear" w:color="auto" w:fill="FFFFFF"/>
        </w:rPr>
        <w:t> </w:t>
      </w:r>
      <w:proofErr w:type="gramStart"/>
      <w:r>
        <w:rPr>
          <w:rStyle w:val="lev"/>
          <w:rFonts w:ascii="Arial" w:hAnsi="Arial" w:cs="Arial"/>
          <w:sz w:val="20"/>
          <w:szCs w:val="20"/>
          <w:shd w:val="clear" w:color="auto" w:fill="FFFFFF"/>
        </w:rPr>
        <w:t>29  départements</w:t>
      </w:r>
      <w:proofErr w:type="gramEnd"/>
      <w:r>
        <w:rPr>
          <w:rStyle w:val="lev"/>
          <w:rFonts w:ascii="Arial" w:hAnsi="Arial" w:cs="Arial"/>
          <w:sz w:val="20"/>
          <w:szCs w:val="20"/>
          <w:shd w:val="clear" w:color="auto" w:fill="FFFFFF"/>
        </w:rPr>
        <w:t xml:space="preserve"> sont  placés en vigilance jaune : </w:t>
      </w:r>
      <w:r>
        <w:rPr>
          <w:rFonts w:ascii="Arial" w:hAnsi="Arial" w:cs="Arial"/>
          <w:sz w:val="20"/>
          <w:szCs w:val="20"/>
          <w:shd w:val="clear" w:color="auto" w:fill="FFFFFF"/>
        </w:rPr>
        <w:t xml:space="preserve">Ain, Allier, Loire, Haute-Loire, Puy-de-Dôme, Côte-d'Or, Doubs, Jura, Haute-Saône, Saône-et-Loire, Territoire de Belfort, Haute-Corse, Ardennes, Aube, Marne, Haute-Marne, Meurthe-et-Moselle, Meuse, Moselle, Bas-Rhin, Haut-Rhin, Vosges, </w:t>
      </w:r>
      <w:r w:rsidRPr="005F61E8">
        <w:rPr>
          <w:rStyle w:val="lev"/>
          <w:rFonts w:ascii="Arial" w:hAnsi="Arial" w:cs="Arial"/>
          <w:color w:val="FF0000"/>
          <w:sz w:val="32"/>
          <w:szCs w:val="32"/>
          <w:shd w:val="clear" w:color="auto" w:fill="FFFFFF"/>
        </w:rPr>
        <w:t>Creuse</w:t>
      </w:r>
      <w:r w:rsidRPr="005F61E8">
        <w:rPr>
          <w:rFonts w:ascii="Arial" w:hAnsi="Arial" w:cs="Arial"/>
          <w:sz w:val="32"/>
          <w:szCs w:val="32"/>
          <w:shd w:val="clear" w:color="auto" w:fill="FFFFFF"/>
        </w:rPr>
        <w:t>,</w:t>
      </w:r>
      <w:r>
        <w:rPr>
          <w:rFonts w:ascii="Arial" w:hAnsi="Arial" w:cs="Arial"/>
          <w:sz w:val="20"/>
          <w:szCs w:val="20"/>
          <w:shd w:val="clear" w:color="auto" w:fill="FFFFFF"/>
        </w:rPr>
        <w:t xml:space="preserve"> Aude, Hérault, Lozère, Pyrénées-Orientales, Bouches-du-Rhône, Var</w:t>
      </w:r>
    </w:p>
    <w:p w:rsidR="005F61E8" w:rsidRPr="005F61E8" w:rsidRDefault="005F61E8" w:rsidP="005F61E8">
      <w:pPr>
        <w:pStyle w:val="NormalWeb"/>
        <w:jc w:val="both"/>
      </w:pPr>
      <w:r w:rsidRPr="005F61E8">
        <w:t> </w:t>
      </w:r>
      <w:r w:rsidRPr="005F61E8">
        <w:rPr>
          <w:rStyle w:val="lev"/>
          <w:rFonts w:ascii="Arial" w:hAnsi="Arial" w:cs="Arial"/>
          <w:color w:val="FF0000"/>
        </w:rPr>
        <w:t xml:space="preserve">Dans ce </w:t>
      </w:r>
      <w:r w:rsidRPr="005F61E8">
        <w:rPr>
          <w:rStyle w:val="lev"/>
          <w:rFonts w:ascii="Arial" w:hAnsi="Arial" w:cs="Arial"/>
          <w:color w:val="FF0000"/>
        </w:rPr>
        <w:t>contexte, merci</w:t>
      </w:r>
      <w:r w:rsidRPr="005F61E8">
        <w:rPr>
          <w:rStyle w:val="lev"/>
          <w:rFonts w:ascii="Arial" w:hAnsi="Arial" w:cs="Arial"/>
          <w:color w:val="FF0000"/>
        </w:rPr>
        <w:t xml:space="preserve"> d'être particulièrement vigilants à ce que les messages de prévention (hydratation, chapeau, ombre, crème solaire, stores...) soient passés </w:t>
      </w:r>
      <w:proofErr w:type="gramStart"/>
      <w:r w:rsidRPr="005F61E8">
        <w:rPr>
          <w:rStyle w:val="lev"/>
          <w:rFonts w:ascii="Arial" w:hAnsi="Arial" w:cs="Arial"/>
          <w:color w:val="FF0000"/>
        </w:rPr>
        <w:t>aux sein</w:t>
      </w:r>
      <w:proofErr w:type="gramEnd"/>
      <w:r w:rsidRPr="005F61E8">
        <w:rPr>
          <w:rStyle w:val="lev"/>
          <w:rFonts w:ascii="Arial" w:hAnsi="Arial" w:cs="Arial"/>
          <w:color w:val="FF0000"/>
        </w:rPr>
        <w:t xml:space="preserve"> des accueils collectifs de mineurs (accueils périscolaires, accueils de loisirs, séjours de vacances, camps de scoutisme) qui se déroulent dans votre département. </w:t>
      </w:r>
    </w:p>
    <w:p w:rsidR="005F61E8" w:rsidRPr="005F61E8" w:rsidRDefault="005F61E8" w:rsidP="005F61E8">
      <w:pPr>
        <w:pStyle w:val="NormalWeb"/>
        <w:jc w:val="both"/>
      </w:pPr>
      <w:r w:rsidRPr="005F61E8">
        <w:rPr>
          <w:rStyle w:val="lev"/>
          <w:rFonts w:ascii="Arial" w:hAnsi="Arial" w:cs="Arial"/>
          <w:color w:val="FF0000"/>
        </w:rPr>
        <w:t xml:space="preserve">Pour les départements placés en vigilance </w:t>
      </w:r>
      <w:r w:rsidRPr="005F61E8">
        <w:rPr>
          <w:rStyle w:val="lev"/>
          <w:rFonts w:ascii="Arial" w:hAnsi="Arial" w:cs="Arial"/>
          <w:color w:val="FF0000"/>
        </w:rPr>
        <w:t>rouge,</w:t>
      </w:r>
      <w:r w:rsidRPr="005F61E8">
        <w:rPr>
          <w:rStyle w:val="lev"/>
          <w:rFonts w:ascii="Arial" w:hAnsi="Arial" w:cs="Arial"/>
          <w:color w:val="FF0000"/>
        </w:rPr>
        <w:t xml:space="preserve"> vous vous assurerez que les organisateurs d’accueils collectifs de mineurs ne prévoient pas de sorties pendant cette période sauf si ces dernières se déroulent dans des lieux frais ne nécessitant pas de déplacement exposant à la chaleur. Le cas échéant, vous demanderez également à ces organisateurs de modifier leurs programmes afin de ne pas proposer la pratique d’activités physiques et sportives.</w:t>
      </w:r>
    </w:p>
    <w:p w:rsidR="005F61E8" w:rsidRDefault="005F61E8" w:rsidP="005F61E8">
      <w:pPr>
        <w:pStyle w:val="NormalWeb"/>
        <w:jc w:val="both"/>
      </w:pPr>
      <w:r>
        <w:rPr>
          <w:rFonts w:ascii="Arial" w:hAnsi="Arial" w:cs="Arial"/>
          <w:sz w:val="20"/>
          <w:szCs w:val="20"/>
        </w:rPr>
        <w:t xml:space="preserve">Vous pouvez utilement vous référer aux dispositions de </w:t>
      </w:r>
      <w:r>
        <w:rPr>
          <w:rStyle w:val="scayt-misspell-word"/>
          <w:rFonts w:ascii="Arial" w:hAnsi="Arial" w:cs="Arial"/>
          <w:sz w:val="20"/>
          <w:szCs w:val="20"/>
        </w:rPr>
        <w:t>l’INSTRUCTION</w:t>
      </w:r>
      <w:r>
        <w:rPr>
          <w:rFonts w:ascii="Arial" w:hAnsi="Arial" w:cs="Arial"/>
          <w:sz w:val="20"/>
          <w:szCs w:val="20"/>
        </w:rPr>
        <w:t xml:space="preserve"> </w:t>
      </w:r>
      <w:r>
        <w:rPr>
          <w:rStyle w:val="scayt-misspell-word"/>
          <w:rFonts w:ascii="Arial" w:hAnsi="Arial" w:cs="Arial"/>
          <w:sz w:val="20"/>
          <w:szCs w:val="20"/>
        </w:rPr>
        <w:t>INTERMINISTERIELLE</w:t>
      </w:r>
      <w:r>
        <w:rPr>
          <w:rFonts w:ascii="Arial" w:hAnsi="Arial" w:cs="Arial"/>
          <w:sz w:val="20"/>
          <w:szCs w:val="20"/>
        </w:rPr>
        <w:t xml:space="preserve"> n° </w:t>
      </w:r>
      <w:r>
        <w:rPr>
          <w:rStyle w:val="scayt-misspell-word"/>
          <w:rFonts w:ascii="Arial" w:hAnsi="Arial" w:cs="Arial"/>
          <w:sz w:val="20"/>
          <w:szCs w:val="20"/>
        </w:rPr>
        <w:t>DGS</w:t>
      </w:r>
      <w:r>
        <w:rPr>
          <w:rFonts w:ascii="Arial" w:hAnsi="Arial" w:cs="Arial"/>
          <w:sz w:val="20"/>
          <w:szCs w:val="20"/>
        </w:rPr>
        <w:t>/VSS2/</w:t>
      </w:r>
      <w:r>
        <w:rPr>
          <w:rStyle w:val="scayt-misspell-word"/>
          <w:rFonts w:ascii="Arial" w:hAnsi="Arial" w:cs="Arial"/>
          <w:sz w:val="20"/>
          <w:szCs w:val="20"/>
        </w:rPr>
        <w:t>DGOS</w:t>
      </w:r>
      <w:r>
        <w:rPr>
          <w:rFonts w:ascii="Arial" w:hAnsi="Arial" w:cs="Arial"/>
          <w:sz w:val="20"/>
          <w:szCs w:val="20"/>
        </w:rPr>
        <w:t>/</w:t>
      </w:r>
      <w:r>
        <w:rPr>
          <w:rStyle w:val="scayt-misspell-word"/>
          <w:rFonts w:ascii="Arial" w:hAnsi="Arial" w:cs="Arial"/>
          <w:sz w:val="20"/>
          <w:szCs w:val="20"/>
        </w:rPr>
        <w:t>DGCS</w:t>
      </w:r>
      <w:r>
        <w:rPr>
          <w:rFonts w:ascii="Arial" w:hAnsi="Arial" w:cs="Arial"/>
          <w:sz w:val="20"/>
          <w:szCs w:val="20"/>
        </w:rPr>
        <w:t>/</w:t>
      </w:r>
      <w:r>
        <w:rPr>
          <w:rStyle w:val="scayt-misspell-word"/>
          <w:rFonts w:ascii="Arial" w:hAnsi="Arial" w:cs="Arial"/>
          <w:sz w:val="20"/>
          <w:szCs w:val="20"/>
        </w:rPr>
        <w:t>DGT</w:t>
      </w:r>
      <w:r>
        <w:rPr>
          <w:rFonts w:ascii="Arial" w:hAnsi="Arial" w:cs="Arial"/>
          <w:sz w:val="20"/>
          <w:szCs w:val="20"/>
        </w:rPr>
        <w:t>/</w:t>
      </w:r>
      <w:r>
        <w:rPr>
          <w:rStyle w:val="scayt-misspell-word"/>
          <w:rFonts w:ascii="Arial" w:hAnsi="Arial" w:cs="Arial"/>
          <w:sz w:val="20"/>
          <w:szCs w:val="20"/>
        </w:rPr>
        <w:t>DGSCGC</w:t>
      </w:r>
      <w:r>
        <w:rPr>
          <w:rFonts w:ascii="Arial" w:hAnsi="Arial" w:cs="Arial"/>
          <w:sz w:val="20"/>
          <w:szCs w:val="20"/>
        </w:rPr>
        <w:t>/</w:t>
      </w:r>
      <w:r>
        <w:rPr>
          <w:rStyle w:val="scayt-misspell-word"/>
          <w:rFonts w:ascii="Arial" w:hAnsi="Arial" w:cs="Arial"/>
          <w:sz w:val="20"/>
          <w:szCs w:val="20"/>
        </w:rPr>
        <w:t>DGEC</w:t>
      </w:r>
      <w:r>
        <w:rPr>
          <w:rFonts w:ascii="Arial" w:hAnsi="Arial" w:cs="Arial"/>
          <w:sz w:val="20"/>
          <w:szCs w:val="20"/>
        </w:rPr>
        <w:t>/</w:t>
      </w:r>
      <w:r>
        <w:rPr>
          <w:rStyle w:val="scayt-misspell-word"/>
          <w:rFonts w:ascii="Arial" w:hAnsi="Arial" w:cs="Arial"/>
          <w:sz w:val="20"/>
          <w:szCs w:val="20"/>
        </w:rPr>
        <w:t>DJEPVA</w:t>
      </w:r>
      <w:r>
        <w:rPr>
          <w:rFonts w:ascii="Arial" w:hAnsi="Arial" w:cs="Arial"/>
          <w:sz w:val="20"/>
          <w:szCs w:val="20"/>
        </w:rPr>
        <w:t>/DS/</w:t>
      </w:r>
      <w:r>
        <w:rPr>
          <w:rStyle w:val="scayt-misspell-word"/>
          <w:rFonts w:ascii="Arial" w:hAnsi="Arial" w:cs="Arial"/>
          <w:sz w:val="20"/>
          <w:szCs w:val="20"/>
        </w:rPr>
        <w:t>DGESCO</w:t>
      </w:r>
      <w:r>
        <w:rPr>
          <w:rFonts w:ascii="Arial" w:hAnsi="Arial" w:cs="Arial"/>
          <w:sz w:val="20"/>
          <w:szCs w:val="20"/>
        </w:rPr>
        <w:t>/</w:t>
      </w:r>
      <w:r>
        <w:rPr>
          <w:rStyle w:val="scayt-misspell-word"/>
          <w:rFonts w:ascii="Arial" w:hAnsi="Arial" w:cs="Arial"/>
          <w:sz w:val="20"/>
          <w:szCs w:val="20"/>
        </w:rPr>
        <w:t>DIHAL</w:t>
      </w:r>
      <w:r>
        <w:rPr>
          <w:rFonts w:ascii="Arial" w:hAnsi="Arial" w:cs="Arial"/>
          <w:sz w:val="20"/>
          <w:szCs w:val="20"/>
        </w:rPr>
        <w:t xml:space="preserve">/2021/99 du 7 mai 2021 relative à la gestion sanitaire des vagues de chaleur en France métropolitaine </w:t>
      </w:r>
      <w:hyperlink r:id="rId4" w:history="1">
        <w:r>
          <w:rPr>
            <w:rStyle w:val="Lienhypertexte"/>
            <w:rFonts w:ascii="Arial" w:hAnsi="Arial" w:cs="Arial"/>
            <w:sz w:val="20"/>
            <w:szCs w:val="20"/>
          </w:rPr>
          <w:t>https://www.pleiade.education.fr/metiers/politiques_jeunesse_engagement/000004/000014/Pages/default.aspx</w:t>
        </w:r>
      </w:hyperlink>
    </w:p>
    <w:p w:rsidR="005F61E8" w:rsidRDefault="005F61E8" w:rsidP="005F61E8">
      <w:pPr>
        <w:pStyle w:val="default"/>
        <w:jc w:val="both"/>
      </w:pPr>
      <w:r>
        <w:rPr>
          <w:sz w:val="20"/>
          <w:szCs w:val="20"/>
        </w:rPr>
        <w:t xml:space="preserve">Enfin il vous est demandé de signaler sans délai tout événement grave lié </w:t>
      </w:r>
      <w:proofErr w:type="gramStart"/>
      <w:r>
        <w:rPr>
          <w:sz w:val="20"/>
          <w:szCs w:val="20"/>
        </w:rPr>
        <w:t>à la chaleur survenu</w:t>
      </w:r>
      <w:proofErr w:type="gramEnd"/>
      <w:r>
        <w:rPr>
          <w:sz w:val="20"/>
          <w:szCs w:val="20"/>
        </w:rPr>
        <w:t xml:space="preserve"> dans le cadre d’un accueil collectif de mineurs et porté à votre connaissance :</w:t>
      </w:r>
    </w:p>
    <w:p w:rsidR="005F61E8" w:rsidRDefault="005F61E8" w:rsidP="005F61E8">
      <w:pPr>
        <w:pStyle w:val="default"/>
        <w:jc w:val="both"/>
      </w:pPr>
      <w:r>
        <w:rPr>
          <w:sz w:val="20"/>
          <w:szCs w:val="20"/>
        </w:rPr>
        <w:t> -        </w:t>
      </w:r>
      <w:r>
        <w:rPr>
          <w:rStyle w:val="lev"/>
          <w:sz w:val="20"/>
          <w:szCs w:val="20"/>
        </w:rPr>
        <w:t>  par téléphone</w:t>
      </w:r>
      <w:r>
        <w:rPr>
          <w:sz w:val="20"/>
          <w:szCs w:val="20"/>
        </w:rPr>
        <w:t xml:space="preserve">, au 01 40 45 98 82 – </w:t>
      </w:r>
      <w:r>
        <w:rPr>
          <w:rStyle w:val="scayt-misspell-word"/>
          <w:sz w:val="20"/>
          <w:szCs w:val="20"/>
        </w:rPr>
        <w:t>DJEPVA</w:t>
      </w:r>
      <w:r>
        <w:rPr>
          <w:sz w:val="20"/>
          <w:szCs w:val="20"/>
        </w:rPr>
        <w:t xml:space="preserve"> (jours ouvrables, de 9 h 00 à 18 h 00) ou au 06 07 85 33 09 – permanence de la </w:t>
      </w:r>
      <w:r>
        <w:rPr>
          <w:rStyle w:val="scayt-misspell-word"/>
          <w:sz w:val="20"/>
          <w:szCs w:val="20"/>
        </w:rPr>
        <w:t>DJEPVA</w:t>
      </w:r>
      <w:r>
        <w:rPr>
          <w:sz w:val="20"/>
          <w:szCs w:val="20"/>
        </w:rPr>
        <w:t xml:space="preserve"> en dehors de ces jours et horaires ; </w:t>
      </w:r>
    </w:p>
    <w:p w:rsidR="005F61E8" w:rsidRDefault="005F61E8" w:rsidP="005F61E8">
      <w:pPr>
        <w:pStyle w:val="default"/>
        <w:jc w:val="both"/>
      </w:pPr>
      <w:r>
        <w:rPr>
          <w:sz w:val="20"/>
          <w:szCs w:val="20"/>
        </w:rPr>
        <w:t xml:space="preserve">-          </w:t>
      </w:r>
      <w:r>
        <w:rPr>
          <w:rStyle w:val="lev"/>
          <w:sz w:val="20"/>
          <w:szCs w:val="20"/>
        </w:rPr>
        <w:t>par écrit</w:t>
      </w:r>
      <w:r>
        <w:rPr>
          <w:sz w:val="20"/>
          <w:szCs w:val="20"/>
        </w:rPr>
        <w:t xml:space="preserve"> sur la boite au lettre </w:t>
      </w:r>
      <w:hyperlink r:id="rId5" w:history="1">
        <w:r>
          <w:rPr>
            <w:rStyle w:val="Lienhypertexte"/>
            <w:sz w:val="20"/>
            <w:szCs w:val="20"/>
          </w:rPr>
          <w:t>signal-acm@jeunesse-sports.gouv.fr</w:t>
        </w:r>
      </w:hyperlink>
      <w:r>
        <w:rPr>
          <w:sz w:val="20"/>
          <w:szCs w:val="20"/>
        </w:rPr>
        <w:t xml:space="preserve"> en utilisant exclusivement </w:t>
      </w:r>
      <w:hyperlink r:id="rId6" w:history="1">
        <w:r>
          <w:rPr>
            <w:rStyle w:val="Lienhypertexte"/>
            <w:sz w:val="20"/>
            <w:szCs w:val="20"/>
          </w:rPr>
          <w:t>le formulaire</w:t>
        </w:r>
      </w:hyperlink>
      <w:r>
        <w:rPr>
          <w:sz w:val="20"/>
          <w:szCs w:val="20"/>
        </w:rPr>
        <w:t xml:space="preserve"> prévu à cet effet et réservé à l’usage des services.</w:t>
      </w:r>
    </w:p>
    <w:p w:rsidR="005F61E8" w:rsidRDefault="005F61E8" w:rsidP="005F61E8">
      <w:pPr>
        <w:pStyle w:val="NormalWeb"/>
        <w:jc w:val="both"/>
      </w:pPr>
      <w:r>
        <w:rPr>
          <w:rFonts w:ascii="Arial" w:hAnsi="Arial" w:cs="Arial"/>
          <w:sz w:val="20"/>
          <w:szCs w:val="20"/>
        </w:rPr>
        <w:lastRenderedPageBreak/>
        <w:t xml:space="preserve">Le bureau de la protection des mineurs en accueils collectifs et des politiques éducatives locales (courriel : </w:t>
      </w:r>
      <w:hyperlink r:id="rId7" w:history="1">
        <w:r>
          <w:rPr>
            <w:rStyle w:val="Lienhypertexte"/>
            <w:rFonts w:ascii="Arial" w:hAnsi="Arial" w:cs="Arial"/>
            <w:sz w:val="20"/>
            <w:szCs w:val="20"/>
          </w:rPr>
          <w:t>signal-acm@jeunesse-sports.gouv.fr</w:t>
        </w:r>
      </w:hyperlink>
      <w:r>
        <w:rPr>
          <w:rFonts w:ascii="Arial" w:hAnsi="Arial" w:cs="Arial"/>
          <w:sz w:val="20"/>
          <w:szCs w:val="20"/>
        </w:rPr>
        <w:t>) se tient à votre disposition pour tout complément d'information que vous jugeriez utile. </w:t>
      </w:r>
    </w:p>
    <w:p w:rsidR="00AD6552" w:rsidRDefault="00AD6552" w:rsidP="005F61E8">
      <w:pPr>
        <w:jc w:val="both"/>
      </w:pPr>
      <w:bookmarkStart w:id="0" w:name="_GoBack"/>
      <w:bookmarkEnd w:id="0"/>
    </w:p>
    <w:sectPr w:rsidR="00AD6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E8"/>
    <w:rsid w:val="005F61E8"/>
    <w:rsid w:val="00AD6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A15C"/>
  <w15:chartTrackingRefBased/>
  <w15:docId w15:val="{C44EA07D-C960-46F6-8539-CF288DA2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61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61E8"/>
    <w:rPr>
      <w:b/>
      <w:bCs/>
    </w:rPr>
  </w:style>
  <w:style w:type="character" w:customStyle="1" w:styleId="scayt-misspell-word">
    <w:name w:val="scayt-misspell-word"/>
    <w:basedOn w:val="Policepardfaut"/>
    <w:rsid w:val="005F61E8"/>
  </w:style>
  <w:style w:type="character" w:styleId="Lienhypertexte">
    <w:name w:val="Hyperlink"/>
    <w:basedOn w:val="Policepardfaut"/>
    <w:uiPriority w:val="99"/>
    <w:semiHidden/>
    <w:unhideWhenUsed/>
    <w:rsid w:val="005F61E8"/>
    <w:rPr>
      <w:color w:val="0000FF"/>
      <w:u w:val="single"/>
    </w:rPr>
  </w:style>
  <w:style w:type="paragraph" w:customStyle="1" w:styleId="default">
    <w:name w:val="default"/>
    <w:basedOn w:val="Normal"/>
    <w:rsid w:val="005F61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gnal-acm@jeunesse-sport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co.intranet.social.gouv.fr/sport/DJEPVA/jeunesse/protectionmineurs/accueilscollectifsdemineurs/Documents/Signalement%20%c3%a9v%c3%a9nement%20grave%20juin%202016.docx" TargetMode="External"/><Relationship Id="rId5" Type="http://schemas.openxmlformats.org/officeDocument/2006/relationships/hyperlink" Target="mailto:signal-acm@jeunesse-sports.gouv.fr" TargetMode="External"/><Relationship Id="rId4" Type="http://schemas.openxmlformats.org/officeDocument/2006/relationships/hyperlink" Target="https://www.pleiade.education.fr/metiers/politiques_jeunesse_engagement/000004/000014/Pages/default.aspx"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PACHECO</dc:creator>
  <cp:keywords/>
  <dc:description/>
  <cp:lastModifiedBy>Elisabeth PACHECO</cp:lastModifiedBy>
  <cp:revision>1</cp:revision>
  <dcterms:created xsi:type="dcterms:W3CDTF">2022-07-19T08:45:00Z</dcterms:created>
  <dcterms:modified xsi:type="dcterms:W3CDTF">2022-07-19T08:48:00Z</dcterms:modified>
</cp:coreProperties>
</file>